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55" w:rsidRPr="004871B6" w:rsidRDefault="00FB4F55" w:rsidP="00FB4F55">
      <w:pPr>
        <w:keepNext/>
        <w:jc w:val="right"/>
        <w:rPr>
          <w:bCs/>
          <w:i/>
          <w:iCs/>
        </w:rPr>
      </w:pPr>
      <w:r>
        <w:rPr>
          <w:bCs/>
          <w:i/>
          <w:iCs/>
        </w:rPr>
        <w:t>Z</w:t>
      </w:r>
      <w:r w:rsidR="00DB3DFD">
        <w:rPr>
          <w:bCs/>
          <w:i/>
          <w:iCs/>
        </w:rPr>
        <w:t>ałącznik nr A2</w:t>
      </w:r>
    </w:p>
    <w:p w:rsidR="00FB4F55" w:rsidRDefault="00FB4F55" w:rsidP="00FB4F55">
      <w:pPr>
        <w:pStyle w:val="Tekstpodstawowy22"/>
        <w:jc w:val="center"/>
        <w:rPr>
          <w:b/>
          <w:sz w:val="22"/>
          <w:szCs w:val="22"/>
        </w:rPr>
      </w:pPr>
    </w:p>
    <w:p w:rsidR="003C687C" w:rsidRPr="00BA1B9E" w:rsidRDefault="003C687C" w:rsidP="003C687C">
      <w:pPr>
        <w:pStyle w:val="Tekstpodstawowy22"/>
        <w:jc w:val="center"/>
        <w:rPr>
          <w:b/>
          <w:sz w:val="22"/>
          <w:szCs w:val="22"/>
        </w:rPr>
      </w:pPr>
      <w:r w:rsidRPr="00BA1B9E">
        <w:rPr>
          <w:b/>
          <w:sz w:val="22"/>
          <w:szCs w:val="22"/>
        </w:rPr>
        <w:t>Zakres ryzyk podlegających ocenie przez Zamawiającego.</w:t>
      </w:r>
    </w:p>
    <w:p w:rsidR="003C687C" w:rsidRDefault="003C687C" w:rsidP="003C687C">
      <w:pPr>
        <w:pStyle w:val="Tekstpodstawowy22"/>
        <w:jc w:val="left"/>
        <w:rPr>
          <w:b/>
          <w:sz w:val="22"/>
          <w:szCs w:val="22"/>
        </w:rPr>
      </w:pPr>
    </w:p>
    <w:p w:rsidR="003C687C" w:rsidRPr="003C687C" w:rsidRDefault="003C687C" w:rsidP="003C687C">
      <w:pPr>
        <w:pStyle w:val="Tekstpodstawowy22"/>
        <w:jc w:val="left"/>
        <w:rPr>
          <w:bCs/>
          <w:sz w:val="22"/>
          <w:szCs w:val="22"/>
        </w:rPr>
      </w:pPr>
      <w:r w:rsidRPr="003C687C">
        <w:rPr>
          <w:b/>
          <w:sz w:val="22"/>
          <w:szCs w:val="22"/>
        </w:rPr>
        <w:t xml:space="preserve">Tak – </w:t>
      </w:r>
      <w:r w:rsidRPr="003C687C">
        <w:rPr>
          <w:bCs/>
          <w:sz w:val="22"/>
          <w:szCs w:val="22"/>
        </w:rPr>
        <w:t>przyjęcie ryzyka</w:t>
      </w:r>
      <w:r w:rsidRPr="003C687C">
        <w:rPr>
          <w:b/>
          <w:sz w:val="22"/>
          <w:szCs w:val="22"/>
        </w:rPr>
        <w:t xml:space="preserve"> , Nie- </w:t>
      </w:r>
      <w:r w:rsidRPr="003C687C">
        <w:rPr>
          <w:bCs/>
          <w:sz w:val="22"/>
          <w:szCs w:val="22"/>
        </w:rPr>
        <w:t>brak przyjęcia ryzyka</w:t>
      </w:r>
    </w:p>
    <w:p w:rsidR="003C687C" w:rsidRPr="003C687C" w:rsidRDefault="003C687C" w:rsidP="003C687C">
      <w:pPr>
        <w:pStyle w:val="Tekstpodstawowy22"/>
        <w:jc w:val="left"/>
        <w:rPr>
          <w:b/>
          <w:sz w:val="22"/>
          <w:szCs w:val="22"/>
        </w:rPr>
      </w:pPr>
      <w:r w:rsidRPr="003C687C">
        <w:rPr>
          <w:b/>
          <w:sz w:val="22"/>
          <w:szCs w:val="22"/>
        </w:rPr>
        <w:t>(................) należy podać wartość.</w:t>
      </w:r>
    </w:p>
    <w:p w:rsidR="003C687C" w:rsidRPr="003C687C" w:rsidRDefault="003C687C" w:rsidP="003C687C">
      <w:pPr>
        <w:pStyle w:val="Tekstpodstawowy22"/>
        <w:jc w:val="left"/>
        <w:rPr>
          <w:b/>
          <w:color w:val="FF0000"/>
          <w:sz w:val="22"/>
          <w:szCs w:val="22"/>
        </w:rPr>
      </w:pPr>
    </w:p>
    <w:p w:rsidR="003C687C" w:rsidRPr="003C687C" w:rsidRDefault="003C687C" w:rsidP="003C687C">
      <w:pPr>
        <w:pStyle w:val="Tekstpodstawowy21"/>
        <w:numPr>
          <w:ilvl w:val="0"/>
          <w:numId w:val="1"/>
        </w:numPr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 w:rsidRPr="003C687C">
        <w:rPr>
          <w:rFonts w:ascii="Times New Roman" w:hAnsi="Times New Roman"/>
          <w:b/>
          <w:bCs/>
          <w:sz w:val="22"/>
          <w:szCs w:val="22"/>
        </w:rPr>
        <w:t xml:space="preserve">I. </w:t>
      </w:r>
      <w:r w:rsidRPr="003C687C">
        <w:rPr>
          <w:rFonts w:ascii="Times New Roman" w:hAnsi="Times New Roman"/>
          <w:b/>
          <w:bCs/>
          <w:sz w:val="22"/>
          <w:szCs w:val="22"/>
        </w:rPr>
        <w:tab/>
        <w:t>Ubezpieczenie od wszystkich ryzyk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7372"/>
        <w:gridCol w:w="1062"/>
      </w:tblGrid>
      <w:tr w:rsidR="003C687C" w:rsidRPr="003C687C" w:rsidTr="00752F88">
        <w:trPr>
          <w:cantSplit/>
          <w:trHeight w:val="57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Zamieszki, strajk  – </w:t>
            </w:r>
            <w:r w:rsidRPr="003C687C">
              <w:rPr>
                <w:rFonts w:ascii="Times New Roman" w:hAnsi="Times New Roman"/>
                <w:sz w:val="22"/>
                <w:szCs w:val="22"/>
              </w:rPr>
              <w:t xml:space="preserve">szkody powstałe w ubezpieczonym mieniu wskutek zakłócania porządku publicznego przez grupę co najmniej 30 osób, któremu towarzyszyły akty agresji wobec ludzi i/lub mienia (zamieszki) lub szkody powstałe wskutek planowo przeprowadzonego i nastawionego na konkretny cel wspólnego przerwania pracy przez grupę pracowników stanowiącą co najmniej 10% ogółu zatrudnionych w danym miejscu ubezpieczenia lub co najmniej przez 30 osób, któremu towarzyszą akty agresji wobec ludzi i/lub mienia (strajk). </w:t>
            </w:r>
            <w:proofErr w:type="spellStart"/>
            <w:r w:rsidRPr="003C687C">
              <w:rPr>
                <w:rFonts w:ascii="Times New Roman" w:hAnsi="Times New Roman"/>
                <w:sz w:val="22"/>
                <w:szCs w:val="22"/>
              </w:rPr>
              <w:t>Podlimit</w:t>
            </w:r>
            <w:proofErr w:type="spellEnd"/>
            <w:r w:rsidRPr="003C687C">
              <w:rPr>
                <w:rFonts w:ascii="Times New Roman" w:hAnsi="Times New Roman"/>
                <w:sz w:val="22"/>
                <w:szCs w:val="22"/>
              </w:rPr>
              <w:t xml:space="preserve"> 50 000 PLN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687C" w:rsidRPr="003C687C" w:rsidTr="00752F88">
        <w:trPr>
          <w:cantSplit/>
          <w:trHeight w:val="57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Akty terrorystyczne</w:t>
            </w:r>
            <w:r w:rsidRPr="003C687C">
              <w:rPr>
                <w:rFonts w:ascii="Times New Roman" w:hAnsi="Times New Roman"/>
                <w:sz w:val="22"/>
                <w:szCs w:val="22"/>
              </w:rPr>
              <w:t xml:space="preserve"> – szkody powstałe w ubezpieczonym mieniu wskutek przeprowadzonych akcji o charakterze przestępczym, organizowanych indywidualnie lub zbiorowo z pobudek ideologicznych, politycznych, ekonomicznych, lub socjalnych, skierowanych przeciwko interesom politycznym i gospodarczym kraju albo życiu i zdrowiu osób, bądź przeciwko stosunkom majątkowym osób, instytucji i podmiotów gospodarczych oraz bezpieczeństwu publicznemu, w celu wprowadzenia chaosu, zastraszenia ludności i dezorganizacji życia publicznego, bądź zdezorganizowania pracy instytucji i zakładów, bądź w celu pozbawienia życia lub zdrowia. Limit odpowiedzialności 1.000.000 zł na jedno i wszystkie zdarzenia w okresie ubezpieczenia, udział własny w każdej szkodzie 10.000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C687C" w:rsidRPr="003C687C" w:rsidTr="00752F88">
        <w:trPr>
          <w:cantSplit/>
          <w:trHeight w:val="57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/>
                <w:bCs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Katastrofa budowlana –</w:t>
            </w:r>
            <w:r w:rsidRPr="003C687C">
              <w:rPr>
                <w:rFonts w:ascii="Times New Roman" w:hAnsi="Times New Roman"/>
                <w:sz w:val="22"/>
                <w:szCs w:val="22"/>
              </w:rPr>
              <w:t xml:space="preserve">szkody powstałe w ubezpieczonym mieniu wskutek niezamierzonego gwałtownego zniszczenia obiektu budowlanego lub jego części, w rozumieniu prawa budowlanego. </w:t>
            </w:r>
            <w:proofErr w:type="spellStart"/>
            <w:r w:rsidRPr="003C687C">
              <w:rPr>
                <w:rFonts w:ascii="Times New Roman" w:hAnsi="Times New Roman"/>
                <w:sz w:val="22"/>
                <w:szCs w:val="22"/>
              </w:rPr>
              <w:t>Podlimit</w:t>
            </w:r>
            <w:proofErr w:type="spellEnd"/>
            <w:r w:rsidRPr="003C687C">
              <w:rPr>
                <w:rFonts w:ascii="Times New Roman" w:hAnsi="Times New Roman"/>
                <w:sz w:val="22"/>
                <w:szCs w:val="22"/>
              </w:rPr>
              <w:t xml:space="preserve"> 2 000 000 zł na jedno i wszystkie zdarzenia w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C687C" w:rsidRPr="003C687C" w:rsidTr="00752F88">
        <w:trPr>
          <w:cantSplit/>
          <w:trHeight w:val="57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/>
                <w:bCs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Wody gruntowe – </w:t>
            </w:r>
            <w:r w:rsidRPr="003C687C">
              <w:rPr>
                <w:rFonts w:ascii="Times New Roman" w:hAnsi="Times New Roman"/>
                <w:sz w:val="22"/>
                <w:szCs w:val="22"/>
              </w:rPr>
              <w:t xml:space="preserve">szkody powstałe wskutek zalania w następstwie podniesienia się wód gruntowych. </w:t>
            </w:r>
            <w:proofErr w:type="spellStart"/>
            <w:r w:rsidRPr="003C687C">
              <w:rPr>
                <w:rFonts w:ascii="Times New Roman" w:hAnsi="Times New Roman"/>
                <w:sz w:val="22"/>
                <w:szCs w:val="22"/>
              </w:rPr>
              <w:t>Podlimit</w:t>
            </w:r>
            <w:proofErr w:type="spellEnd"/>
            <w:r w:rsidRPr="003C687C">
              <w:rPr>
                <w:rFonts w:ascii="Times New Roman" w:hAnsi="Times New Roman"/>
                <w:sz w:val="22"/>
                <w:szCs w:val="22"/>
              </w:rPr>
              <w:t xml:space="preserve"> 100 000 zł na jedno i wszystkie zdarzenia w okresie ubezpieczenia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C687C" w:rsidRPr="003C687C" w:rsidTr="00752F88">
        <w:trPr>
          <w:cantSplit/>
          <w:trHeight w:val="57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/>
                <w:bCs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Mróz – </w:t>
            </w:r>
            <w:r w:rsidRPr="003C687C">
              <w:rPr>
                <w:rFonts w:ascii="Times New Roman" w:hAnsi="Times New Roman"/>
                <w:sz w:val="22"/>
                <w:szCs w:val="22"/>
              </w:rPr>
              <w:t xml:space="preserve">szkody powstałe w ubezpieczonym mieniu na skutek działania niskiej temperatury – poniżej 0 st. Celsjusza. </w:t>
            </w:r>
            <w:proofErr w:type="spellStart"/>
            <w:r w:rsidRPr="003C687C">
              <w:rPr>
                <w:rFonts w:ascii="Times New Roman" w:hAnsi="Times New Roman"/>
                <w:sz w:val="22"/>
                <w:szCs w:val="22"/>
              </w:rPr>
              <w:t>Podlimit</w:t>
            </w:r>
            <w:proofErr w:type="spellEnd"/>
            <w:r w:rsidRPr="003C687C">
              <w:rPr>
                <w:rFonts w:ascii="Times New Roman" w:hAnsi="Times New Roman"/>
                <w:sz w:val="22"/>
                <w:szCs w:val="22"/>
              </w:rPr>
              <w:t xml:space="preserve"> 200 000 zł na jedno i wszystkie zdarzenia w okresie ubezpieczenia.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C687C" w:rsidRPr="003C687C" w:rsidTr="00752F88">
        <w:trPr>
          <w:cantSplit/>
          <w:trHeight w:val="57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Zwiększenie limitu w ryzyku kradzieży zwykłej do 50 000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7C" w:rsidRPr="003C687C" w:rsidRDefault="003C687C" w:rsidP="00752F88">
            <w:pPr>
              <w:pStyle w:val="Standardowy0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C687C" w:rsidRPr="003C687C" w:rsidRDefault="003C687C" w:rsidP="003C687C">
      <w:pPr>
        <w:numPr>
          <w:ilvl w:val="0"/>
          <w:numId w:val="1"/>
        </w:numPr>
        <w:rPr>
          <w:b/>
          <w:bCs/>
        </w:rPr>
      </w:pPr>
    </w:p>
    <w:p w:rsidR="003C687C" w:rsidRPr="003C687C" w:rsidRDefault="003C687C" w:rsidP="003C687C">
      <w:pPr>
        <w:numPr>
          <w:ilvl w:val="0"/>
          <w:numId w:val="1"/>
        </w:numPr>
        <w:rPr>
          <w:b/>
          <w:bCs/>
        </w:rPr>
      </w:pPr>
      <w:r w:rsidRPr="003C687C">
        <w:rPr>
          <w:b/>
          <w:bCs/>
        </w:rPr>
        <w:t xml:space="preserve">II. </w:t>
      </w:r>
      <w:r w:rsidRPr="003C687C">
        <w:rPr>
          <w:b/>
          <w:bCs/>
        </w:rPr>
        <w:tab/>
        <w:t>Ubezpieczenie sprzętu elektronicznego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7372"/>
        <w:gridCol w:w="1062"/>
      </w:tblGrid>
      <w:tr w:rsidR="003C687C" w:rsidRPr="003C687C" w:rsidTr="00752F8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sz w:val="22"/>
                <w:szCs w:val="22"/>
                <w:u w:val="single"/>
              </w:rPr>
              <w:t xml:space="preserve">Ograniczenia odszkodowawcze w odniesieniu do ryzyk wymaganych przez zamawiającego oraz ryzyk dodatkowych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_</w:t>
            </w:r>
          </w:p>
        </w:tc>
      </w:tr>
      <w:tr w:rsidR="003C687C" w:rsidRPr="003C687C" w:rsidTr="00752F8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rPr>
                <w:b/>
                <w:bCs/>
              </w:rPr>
            </w:pPr>
            <w:r w:rsidRPr="003C687C">
              <w:rPr>
                <w:b/>
                <w:bCs/>
              </w:rPr>
              <w:t>Udział własny w klauzuli sprzętu przenośnego - brak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687C" w:rsidRPr="003C687C" w:rsidTr="00752F8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r w:rsidRPr="003C687C">
              <w:t>- do 15%                                                                              …………….. 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C687C" w:rsidRPr="003C687C" w:rsidTr="00752F8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r w:rsidRPr="003C687C">
              <w:t>- od 16% do 24%                                                                ………………%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C687C" w:rsidRPr="003C687C" w:rsidRDefault="003C687C" w:rsidP="003C687C">
      <w:pPr>
        <w:jc w:val="both"/>
        <w:rPr>
          <w:b/>
          <w:bCs/>
        </w:rPr>
      </w:pPr>
    </w:p>
    <w:p w:rsidR="003C687C" w:rsidRPr="003C687C" w:rsidRDefault="003C687C" w:rsidP="003C687C">
      <w:pPr>
        <w:jc w:val="both"/>
        <w:rPr>
          <w:b/>
          <w:bCs/>
        </w:rPr>
      </w:pPr>
    </w:p>
    <w:p w:rsidR="003C687C" w:rsidRPr="003C687C" w:rsidRDefault="003C687C" w:rsidP="003C687C">
      <w:pPr>
        <w:keepNext/>
        <w:tabs>
          <w:tab w:val="left" w:pos="1967"/>
        </w:tabs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3C687C">
        <w:rPr>
          <w:b/>
          <w:bCs/>
          <w:lang w:val="en-US"/>
        </w:rPr>
        <w:t>III. Ubezpieczenia komunikacyjne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428"/>
        <w:gridCol w:w="1134"/>
      </w:tblGrid>
      <w:tr w:rsidR="003C687C" w:rsidRPr="003C687C" w:rsidTr="00752F88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3C687C">
              <w:t>Termin zgłaszania szkód kradzieżowych 3 dni robocze od daty powstania.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C687C" w:rsidRPr="003C687C" w:rsidTr="00752F88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3C687C">
              <w:t xml:space="preserve">W przypadku szkody całkowitej dla pojazdów samochodowych, których wiek nie przekracza 6 miesięcy odszkodowanie wypłacane jest wg faktury zakupu, o ile nie odnotowano  wcześniej szkody i przebieg nie przekracza </w:t>
            </w:r>
            <w:r w:rsidRPr="003C687C">
              <w:lastRenderedPageBreak/>
              <w:t xml:space="preserve">10.000 </w:t>
            </w:r>
            <w:proofErr w:type="spellStart"/>
            <w:r w:rsidRPr="003C687C">
              <w:t>km</w:t>
            </w:r>
            <w:proofErr w:type="spellEnd"/>
            <w:r w:rsidRPr="003C687C"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C687C" w:rsidRPr="003C687C" w:rsidTr="00752F88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3C687C">
              <w:t>Gwarancja niezmienności sumy ubezpieczenia w AC w okresie 12 miesięcy (dot. pojazdów nie starszych niż 3 lata)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C687C" w:rsidRPr="003C687C" w:rsidTr="00752F88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C687C">
              <w:rPr>
                <w:lang w:val="en-US"/>
              </w:rPr>
              <w:t xml:space="preserve">Brak franszyzy integralnej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3C687C" w:rsidRPr="003C687C" w:rsidTr="00752F88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3C687C">
              <w:rPr>
                <w:lang w:val="en-US"/>
              </w:rPr>
              <w:t>.1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3C687C">
              <w:t>Franszyza integralna do 200 zł                                          (…………….zł)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center"/>
            </w:pPr>
          </w:p>
        </w:tc>
      </w:tr>
      <w:tr w:rsidR="003C687C" w:rsidRPr="003C687C" w:rsidTr="00752F88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3C687C">
              <w:rPr>
                <w:lang w:val="en-US"/>
              </w:rPr>
              <w:t>.2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3C687C">
              <w:t>Franszyza integralna od 201 do 400 zł                              (…………….zł)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center"/>
            </w:pPr>
          </w:p>
        </w:tc>
      </w:tr>
      <w:tr w:rsidR="003C687C" w:rsidRPr="003C687C" w:rsidTr="00752F88">
        <w:trPr>
          <w:trHeight w:val="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3C687C">
              <w:rPr>
                <w:lang w:val="en-US"/>
              </w:rPr>
              <w:t>.3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3C687C">
              <w:t>Franszyza integralna od 401 do 499 zł                               (…………….zł)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687C" w:rsidRPr="003C687C" w:rsidRDefault="003C687C" w:rsidP="00752F8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87C" w:rsidRPr="003C687C" w:rsidRDefault="003C687C" w:rsidP="003C687C">
      <w:pPr>
        <w:jc w:val="both"/>
        <w:rPr>
          <w:b/>
          <w:bCs/>
        </w:rPr>
      </w:pPr>
    </w:p>
    <w:p w:rsidR="003C687C" w:rsidRPr="003C687C" w:rsidRDefault="003C687C" w:rsidP="003C687C">
      <w:pPr>
        <w:jc w:val="both"/>
        <w:rPr>
          <w:b/>
          <w:bCs/>
        </w:rPr>
      </w:pPr>
    </w:p>
    <w:p w:rsidR="003C687C" w:rsidRPr="003C687C" w:rsidRDefault="003C687C" w:rsidP="003C687C">
      <w:pPr>
        <w:numPr>
          <w:ilvl w:val="0"/>
          <w:numId w:val="1"/>
        </w:numPr>
        <w:jc w:val="both"/>
        <w:rPr>
          <w:b/>
          <w:bCs/>
        </w:rPr>
      </w:pPr>
      <w:r w:rsidRPr="003C687C">
        <w:rPr>
          <w:b/>
          <w:bCs/>
        </w:rPr>
        <w:t>IV Klauzule polisowe do powyższych ryzyk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7372"/>
        <w:gridCol w:w="1062"/>
      </w:tblGrid>
      <w:tr w:rsidR="003C687C" w:rsidRPr="003C687C" w:rsidTr="00752F8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4B5EA7">
            <w:pPr>
              <w:jc w:val="both"/>
              <w:rPr>
                <w:u w:val="single"/>
              </w:rPr>
            </w:pPr>
            <w:r w:rsidRPr="003C687C">
              <w:rPr>
                <w:b/>
                <w:bCs/>
              </w:rPr>
              <w:t xml:space="preserve">Klauzula Reprezentantów </w:t>
            </w:r>
            <w:r w:rsidRPr="003C687C">
              <w:t>– zakład ubezpieczeń nie odpowiada za szkody wyrządzone umyślnie lub wskutek rażącego niedbalstwa, jedynie przez osoby reprezentujące ubezpieczającego. Dla celów niniejszej umowy, wyłącznymi osobami reprezentującymi ubezpie</w:t>
            </w:r>
            <w:r w:rsidR="00C76C14">
              <w:t>czającego są władze Gminy Poniec</w:t>
            </w:r>
            <w:r w:rsidRPr="003C687C">
              <w:t xml:space="preserve">  (Burmistrz, skarbnik, sekretarz) i dyrektorzy/kierownicy (zastępcy dyrektorów / kierowników) ubezpieczonych jednostek organizacyjnych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687C" w:rsidRPr="003C687C" w:rsidTr="00752F8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b/>
                <w:bCs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Klauzula </w:t>
            </w:r>
            <w:proofErr w:type="spellStart"/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Leeway</w:t>
            </w:r>
            <w:proofErr w:type="spellEnd"/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3C687C">
              <w:rPr>
                <w:rFonts w:ascii="Times New Roman" w:hAnsi="Times New Roman"/>
                <w:sz w:val="22"/>
                <w:szCs w:val="22"/>
              </w:rPr>
              <w:t xml:space="preserve">(do ubezpieczeń I , IV) – zakład ubezpieczeń oświadcza, że postanowienia dotyczące </w:t>
            </w:r>
            <w:proofErr w:type="spellStart"/>
            <w:r w:rsidRPr="003C687C">
              <w:rPr>
                <w:rFonts w:ascii="Times New Roman" w:hAnsi="Times New Roman"/>
                <w:sz w:val="22"/>
                <w:szCs w:val="22"/>
              </w:rPr>
              <w:t>niedoubezpieczenia</w:t>
            </w:r>
            <w:proofErr w:type="spellEnd"/>
            <w:r w:rsidRPr="003C687C">
              <w:rPr>
                <w:rFonts w:ascii="Times New Roman" w:hAnsi="Times New Roman"/>
                <w:sz w:val="22"/>
                <w:szCs w:val="22"/>
              </w:rPr>
              <w:t xml:space="preserve"> nie znajdą zastosowania jeżeli odtworzeniowa wartość przedmiotu ubezpieczenia nie będzie wyższa niż 40 % od podanej sumy ubezpieczenia.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C687C" w:rsidRPr="003C687C" w:rsidTr="00752F88">
        <w:trPr>
          <w:trHeight w:val="536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left"/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</w:rPr>
            </w:pPr>
            <w:r w:rsidRPr="003C687C">
              <w:rPr>
                <w:rFonts w:ascii="Times New Roman" w:hAnsi="Times New Roman"/>
                <w:b/>
                <w:bCs/>
                <w:sz w:val="22"/>
                <w:szCs w:val="22"/>
              </w:rPr>
              <w:t>Klauzula Informacji</w:t>
            </w:r>
            <w:r w:rsidRPr="003C687C">
              <w:rPr>
                <w:rFonts w:ascii="Times New Roman" w:hAnsi="Times New Roman"/>
                <w:sz w:val="22"/>
                <w:szCs w:val="22"/>
              </w:rPr>
              <w:t xml:space="preserve"> dotyczących ryzyka – zakład ubezpieczeń uznaje, że podczas zawierania umowy ubezpieczenia, były mu znane wszystkie okoliczności, które są niezbędne do oceny ryzyka, chyba że pewne informacje zostały świadomie zatajone.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87C" w:rsidRPr="003C687C" w:rsidRDefault="003C687C" w:rsidP="00752F88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C687C" w:rsidRPr="003C687C" w:rsidRDefault="003C687C" w:rsidP="003C687C">
      <w:pPr>
        <w:pStyle w:val="Tekstpodstawowy21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C687C" w:rsidRPr="003C687C" w:rsidRDefault="003C687C" w:rsidP="003C687C">
      <w:pPr>
        <w:pStyle w:val="Tekstpodstawowy21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C687C" w:rsidRPr="003C687C" w:rsidRDefault="003C687C" w:rsidP="003C687C">
      <w:pPr>
        <w:pStyle w:val="Tekstpodstawowy21"/>
        <w:jc w:val="center"/>
        <w:rPr>
          <w:rFonts w:ascii="Times New Roman" w:hAnsi="Times New Roman"/>
          <w:bCs/>
          <w:sz w:val="22"/>
          <w:szCs w:val="22"/>
        </w:rPr>
      </w:pPr>
    </w:p>
    <w:p w:rsidR="003C687C" w:rsidRPr="003C687C" w:rsidRDefault="003C687C" w:rsidP="003C687C">
      <w:pPr>
        <w:pStyle w:val="Tekstpodstawowy"/>
        <w:spacing w:before="120"/>
        <w:ind w:left="4963" w:hanging="4963"/>
        <w:rPr>
          <w:b w:val="0"/>
          <w:i/>
        </w:rPr>
      </w:pPr>
      <w:r w:rsidRPr="003C687C">
        <w:rPr>
          <w:b w:val="0"/>
        </w:rPr>
        <w:t>Miejscowość, data …………………………….</w:t>
      </w:r>
      <w:r w:rsidRPr="003C687C">
        <w:rPr>
          <w:b w:val="0"/>
        </w:rPr>
        <w:tab/>
        <w:t>..…………………..………………                     podpisy osób/-y uprawnionych/-ej</w:t>
      </w:r>
    </w:p>
    <w:p w:rsidR="00B146B0" w:rsidRDefault="00B146B0" w:rsidP="003C687C">
      <w:pPr>
        <w:pStyle w:val="Tekstpodstawowy22"/>
        <w:jc w:val="center"/>
      </w:pPr>
    </w:p>
    <w:sectPr w:rsidR="00B146B0" w:rsidSect="0073718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62" w:rsidRDefault="00FC4862" w:rsidP="003072EC">
      <w:r>
        <w:separator/>
      </w:r>
    </w:p>
  </w:endnote>
  <w:endnote w:type="continuationSeparator" w:id="1">
    <w:p w:rsidR="00FC4862" w:rsidRDefault="00FC4862" w:rsidP="0030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E4" w:rsidRDefault="00566B1E" w:rsidP="005C2C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4F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EA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C47E4" w:rsidRDefault="004B5EA7" w:rsidP="00E724E1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FC47E4" w:rsidRDefault="00566B1E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35pt;margin-top:.05pt;width:12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C47E4" w:rsidRDefault="004B5EA7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E4" w:rsidRDefault="00566B1E">
    <w:pPr>
      <w:pStyle w:val="Stopka"/>
      <w:jc w:val="right"/>
    </w:pPr>
    <w:r>
      <w:fldChar w:fldCharType="begin"/>
    </w:r>
    <w:r w:rsidR="00FB4F55">
      <w:instrText xml:space="preserve"> PAGE   \* MERGEFORMAT </w:instrText>
    </w:r>
    <w:r>
      <w:fldChar w:fldCharType="separate"/>
    </w:r>
    <w:r w:rsidR="00F355B9">
      <w:rPr>
        <w:noProof/>
      </w:rPr>
      <w:t>1</w:t>
    </w:r>
    <w:r>
      <w:fldChar w:fldCharType="end"/>
    </w:r>
  </w:p>
  <w:p w:rsidR="00FC47E4" w:rsidRDefault="004B5EA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62" w:rsidRDefault="00FC4862" w:rsidP="003072EC">
      <w:r>
        <w:separator/>
      </w:r>
    </w:p>
  </w:footnote>
  <w:footnote w:type="continuationSeparator" w:id="1">
    <w:p w:rsidR="00FC4862" w:rsidRDefault="00FC4862" w:rsidP="00307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4F55"/>
    <w:rsid w:val="00081DD4"/>
    <w:rsid w:val="0014705A"/>
    <w:rsid w:val="00164ED2"/>
    <w:rsid w:val="001D0365"/>
    <w:rsid w:val="00243A91"/>
    <w:rsid w:val="002D6D81"/>
    <w:rsid w:val="003072EC"/>
    <w:rsid w:val="003C687C"/>
    <w:rsid w:val="004173B5"/>
    <w:rsid w:val="00456085"/>
    <w:rsid w:val="004B5EA7"/>
    <w:rsid w:val="00566B1E"/>
    <w:rsid w:val="005B4971"/>
    <w:rsid w:val="00650C33"/>
    <w:rsid w:val="006568A6"/>
    <w:rsid w:val="00737187"/>
    <w:rsid w:val="007439FB"/>
    <w:rsid w:val="007519EF"/>
    <w:rsid w:val="0077658A"/>
    <w:rsid w:val="00807FF5"/>
    <w:rsid w:val="00834ADB"/>
    <w:rsid w:val="008A6F60"/>
    <w:rsid w:val="00903C73"/>
    <w:rsid w:val="00942F30"/>
    <w:rsid w:val="00A132E6"/>
    <w:rsid w:val="00A14702"/>
    <w:rsid w:val="00B146B0"/>
    <w:rsid w:val="00C6245F"/>
    <w:rsid w:val="00C76C14"/>
    <w:rsid w:val="00CB7E51"/>
    <w:rsid w:val="00DB3DFD"/>
    <w:rsid w:val="00F26B8C"/>
    <w:rsid w:val="00F355B9"/>
    <w:rsid w:val="00F46583"/>
    <w:rsid w:val="00FB4F55"/>
    <w:rsid w:val="00FC4862"/>
    <w:rsid w:val="00FC5CFF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4F5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4F55"/>
    <w:pPr>
      <w:keepNext/>
      <w:tabs>
        <w:tab w:val="num" w:pos="1967"/>
      </w:tabs>
      <w:ind w:left="1967" w:hanging="720"/>
      <w:jc w:val="both"/>
      <w:outlineLvl w:val="2"/>
    </w:pPr>
    <w:rPr>
      <w:rFonts w:ascii="Comic Sans MS" w:hAnsi="Comic Sans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B4F55"/>
    <w:rPr>
      <w:rFonts w:ascii="Comic Sans MS" w:hAnsi="Comic Sans MS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rsid w:val="00FB4F55"/>
  </w:style>
  <w:style w:type="paragraph" w:styleId="Tekstpodstawowy">
    <w:name w:val="Body Text"/>
    <w:basedOn w:val="Normalny"/>
    <w:link w:val="TekstpodstawowyZnak"/>
    <w:rsid w:val="00FB4F55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B4F55"/>
    <w:rPr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FB4F55"/>
    <w:pPr>
      <w:jc w:val="both"/>
    </w:pPr>
    <w:rPr>
      <w:rFonts w:ascii="Comic Sans MS" w:hAnsi="Comic Sans MS"/>
    </w:rPr>
  </w:style>
  <w:style w:type="paragraph" w:styleId="Stopka">
    <w:name w:val="footer"/>
    <w:basedOn w:val="Normalny"/>
    <w:link w:val="StopkaZnak"/>
    <w:uiPriority w:val="99"/>
    <w:rsid w:val="00FB4F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F55"/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qFormat/>
    <w:rsid w:val="00FB4F55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FB4F55"/>
    <w:pPr>
      <w:tabs>
        <w:tab w:val="num" w:pos="1134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F55"/>
    <w:rPr>
      <w:sz w:val="24"/>
      <w:szCs w:val="24"/>
      <w:lang w:eastAsia="ar-SA"/>
    </w:rPr>
  </w:style>
  <w:style w:type="paragraph" w:customStyle="1" w:styleId="Standardowy0">
    <w:name w:val="Standardowy.+"/>
    <w:rsid w:val="00FB4F5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3875</Characters>
  <Application>Microsoft Office Word</Application>
  <DocSecurity>0</DocSecurity>
  <Lines>32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SUrbanski</cp:lastModifiedBy>
  <cp:revision>15</cp:revision>
  <dcterms:created xsi:type="dcterms:W3CDTF">2021-02-04T12:43:00Z</dcterms:created>
  <dcterms:modified xsi:type="dcterms:W3CDTF">2021-04-28T07:10:00Z</dcterms:modified>
</cp:coreProperties>
</file>